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464"/>
        <w:gridCol w:w="15"/>
        <w:gridCol w:w="1574"/>
        <w:gridCol w:w="30"/>
        <w:gridCol w:w="1438"/>
        <w:gridCol w:w="55"/>
        <w:gridCol w:w="984"/>
      </w:tblGrid>
      <w:tr w:rsidR="008752D4" w:rsidRPr="008752D4" w:rsidTr="0085419D">
        <w:tc>
          <w:tcPr>
            <w:tcW w:w="9214" w:type="dxa"/>
            <w:gridSpan w:val="8"/>
            <w:shd w:val="clear" w:color="auto" w:fill="FFFFFF"/>
            <w:hideMark/>
          </w:tcPr>
          <w:p w:rsid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 определению стоимости размещения строительного мусора</w:t>
            </w:r>
          </w:p>
          <w:p w:rsid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для включения затрат в сметную документацию.</w:t>
            </w:r>
          </w:p>
          <w:p w:rsidR="0085419D" w:rsidRDefault="0085419D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  <w:p w:rsidR="0085419D" w:rsidRDefault="0085419D" w:rsidP="0085419D">
            <w:pPr>
              <w:widowControl w:val="0"/>
              <w:suppressAutoHyphens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</w:pP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В соответствии с Приказом </w:t>
            </w:r>
            <w:proofErr w:type="spellStart"/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Росприроднадзора</w:t>
            </w:r>
            <w:proofErr w:type="spellEnd"/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от 22.05.2017 N 242 (ред. от 02.11.2018) "Об утверждении Федерального классификационного каталога отходов" (Зарегистрировано в Минюсте России 08.06.2017 N 47008)  строительный мусор и материал</w:t>
            </w:r>
            <w:r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ы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от разборки</w:t>
            </w:r>
            <w:r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строительных конструкций относя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тся к отходам 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val="en-US" w:eastAsia="zh-CN"/>
              </w:rPr>
              <w:t>III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-</w:t>
            </w:r>
            <w:r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val="en-US" w:eastAsia="zh-CN"/>
              </w:rPr>
              <w:t>V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классов опасности. </w:t>
            </w:r>
          </w:p>
          <w:p w:rsidR="00702224" w:rsidRDefault="00702224" w:rsidP="0085419D">
            <w:pPr>
              <w:widowControl w:val="0"/>
              <w:suppressAutoHyphens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</w:pPr>
          </w:p>
          <w:p w:rsidR="0085419D" w:rsidRDefault="0085419D" w:rsidP="0085419D">
            <w:pPr>
              <w:widowControl w:val="0"/>
              <w:suppressAutoHyphens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Стоимость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размещени</w:t>
            </w:r>
            <w:r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я</w:t>
            </w:r>
            <w:r w:rsidR="00543394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отходов 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val="en-US" w:eastAsia="zh-CN"/>
              </w:rPr>
              <w:t>I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-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val="en-US" w:eastAsia="zh-CN"/>
              </w:rPr>
              <w:t>V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классов опасности</w:t>
            </w:r>
            <w:r w:rsidR="00543394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(</w:t>
            </w:r>
            <w:r w:rsidR="00543394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в текущем уровне цен</w:t>
            </w:r>
            <w:r w:rsidR="00543394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)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законодательно прописана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в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раздел</w:t>
            </w:r>
            <w:r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>е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val="en-US" w:eastAsia="zh-CN"/>
              </w:rPr>
              <w:t>III</w:t>
            </w:r>
            <w:r w:rsidRPr="0085419D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r w:rsidRPr="0085419D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Постановления  Правительства Российской Федерации от 13 сентября 2016 г. N 913  «О ставках  платы за негативное воздействие на окружающую среду и дополнительных коэффициентах»</w:t>
            </w:r>
            <w:r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85419D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(в ред</w:t>
            </w:r>
            <w:r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акции</w:t>
            </w:r>
            <w:r w:rsidRPr="0085419D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 Постановления Правительства РФ от 29.06.2018</w:t>
            </w:r>
            <w:r w:rsidR="0054339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85419D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 N 758)</w:t>
            </w:r>
            <w:proofErr w:type="gramStart"/>
            <w:r w:rsidRPr="0085419D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.</w:t>
            </w:r>
            <w:proofErr w:type="gramEnd"/>
            <w:r w:rsidRPr="0085419D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70222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(</w:t>
            </w:r>
            <w:proofErr w:type="gramStart"/>
            <w:r w:rsidR="00702224" w:rsidRPr="0070222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с</w:t>
            </w:r>
            <w:proofErr w:type="gramEnd"/>
            <w:r w:rsidR="00702224" w:rsidRPr="0070222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мотри в приложении</w:t>
            </w:r>
            <w:r w:rsidR="0070222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 №1</w:t>
            </w:r>
            <w:r w:rsidR="00702224" w:rsidRPr="0070222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 к Рекомендациям</w:t>
            </w:r>
            <w:r w:rsidR="0070222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)</w:t>
            </w:r>
            <w:r w:rsidR="0054339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.</w:t>
            </w:r>
          </w:p>
          <w:p w:rsidR="00543394" w:rsidRDefault="00543394" w:rsidP="0085419D">
            <w:pPr>
              <w:widowControl w:val="0"/>
              <w:suppressAutoHyphens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</w:pPr>
          </w:p>
          <w:p w:rsidR="00543394" w:rsidRDefault="00543394" w:rsidP="00543394">
            <w:pPr>
              <w:widowControl w:val="0"/>
              <w:suppressAutoHyphens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</w:pPr>
            <w:r w:rsidRPr="0054339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Пересчет ста</w:t>
            </w:r>
            <w:r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вок, установленных на 2018 </w:t>
            </w:r>
            <w:proofErr w:type="spellStart"/>
            <w:r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год</w:t>
            </w:r>
            <w:r w:rsidRPr="0054339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в</w:t>
            </w:r>
            <w:proofErr w:type="spellEnd"/>
            <w:r w:rsidRPr="0054339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 xml:space="preserve"> уровень цен 2021 г. производится с использованием коэффициента 1,08 (Постановление Правительства РФ от 11.09.2020 N 1393)</w:t>
            </w:r>
            <w:r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.</w:t>
            </w:r>
          </w:p>
          <w:p w:rsidR="00702224" w:rsidRDefault="00702224" w:rsidP="0085419D">
            <w:pPr>
              <w:widowControl w:val="0"/>
              <w:suppressAutoHyphens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</w:pPr>
          </w:p>
          <w:p w:rsidR="00702224" w:rsidRDefault="00702224" w:rsidP="007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5419D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</w:t>
            </w:r>
            <w:r w:rsidRPr="0085419D">
              <w:rPr>
                <w:rFonts w:ascii="Times New Roman" w:hAnsi="Times New Roman" w:cs="Times New Roman"/>
                <w:sz w:val="28"/>
                <w:szCs w:val="28"/>
              </w:rPr>
              <w:t xml:space="preserve"> подтвер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ждать</w:t>
            </w:r>
            <w:r w:rsidRPr="0085419D">
              <w:rPr>
                <w:rFonts w:ascii="Times New Roman" w:hAnsi="Times New Roman" w:cs="Times New Roman"/>
                <w:sz w:val="28"/>
                <w:szCs w:val="28"/>
              </w:rPr>
              <w:t>, указав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</w:t>
            </w:r>
            <w:r w:rsidRPr="0085419D">
              <w:rPr>
                <w:rFonts w:ascii="Times New Roman" w:hAnsi="Times New Roman" w:cs="Times New Roman"/>
                <w:sz w:val="28"/>
                <w:szCs w:val="28"/>
              </w:rPr>
              <w:t xml:space="preserve"> код ФККО в соответствии с Федеральным</w:t>
            </w:r>
            <w:r w:rsidRPr="0085419D">
              <w:t xml:space="preserve"> </w:t>
            </w:r>
            <w:r w:rsidRPr="0085419D">
              <w:rPr>
                <w:rFonts w:ascii="Times New Roman" w:hAnsi="Times New Roman" w:cs="Times New Roman"/>
                <w:sz w:val="28"/>
                <w:szCs w:val="28"/>
              </w:rPr>
              <w:t>классификационным каталогом отходов, утвержденным приказом от 22 мая 2017 г. N 242.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(выписку из классификатора смотри в приложении №2 к Рекомендациям)</w:t>
            </w:r>
            <w:r w:rsidR="00543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BB0" w:rsidRDefault="00543394" w:rsidP="0054339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4339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Затраты на размещение отходов учитываются в г</w:t>
            </w:r>
            <w:r w:rsidRPr="005433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лаве 9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433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« Прочие работы и затраты» в графах 7 и 8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ССР (</w:t>
            </w:r>
            <w:r w:rsidRPr="005433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сводного сметного расчета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54339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Если сводный сметный расчет не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составляется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то отдельной строкой в локальной смете.</w:t>
            </w:r>
            <w:r w:rsidR="00590B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90BB0" w:rsidRPr="00590B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Примеры расчета платы за размещение отходов приводятся в приложении №3 Рекомендаций</w:t>
            </w:r>
            <w:r w:rsidR="004530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543394" w:rsidRDefault="00543394" w:rsidP="0054339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</w:pPr>
            <w:r w:rsidRPr="00543394"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  <w:t>Т</w:t>
            </w:r>
            <w:r w:rsidRPr="0054339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ак же в сметной документации (непосредственно в локальных сметных расчетах) </w:t>
            </w:r>
            <w:r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следует учитывать</w:t>
            </w:r>
            <w:r w:rsidRPr="0054339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затраты на погрузку и перевозку мусора на полигон</w:t>
            </w:r>
            <w:r w:rsidRPr="0054339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4"/>
                <w:szCs w:val="24"/>
                <w:lang w:eastAsia="zh-CN"/>
              </w:rPr>
              <w:t xml:space="preserve"> ТБО.</w:t>
            </w:r>
            <w:r w:rsid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4"/>
                <w:szCs w:val="24"/>
                <w:lang w:eastAsia="zh-CN"/>
              </w:rPr>
              <w:t xml:space="preserve"> </w:t>
            </w:r>
            <w:r w:rsidR="00590BB0" w:rsidRP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При</w:t>
            </w:r>
            <w:r w:rsid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4"/>
                <w:szCs w:val="24"/>
                <w:lang w:eastAsia="zh-CN"/>
              </w:rPr>
              <w:t xml:space="preserve"> </w:t>
            </w:r>
            <w:r w:rsidR="00590BB0" w:rsidRP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определении транспортных расходов  следует учитывать следующую информацию</w:t>
            </w:r>
            <w:r w:rsid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:</w:t>
            </w:r>
          </w:p>
          <w:p w:rsidR="00C067A4" w:rsidRDefault="00590BB0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Приказом  Департамента строительства, ТЭК, ЖКХ, транспорта и дорожного хозяйства Орловской области от 16 сентября 2019 года N 443 «Об утверждении территориальной схемы обращения с отходами, в том числе с твердыми коммунальными отходами, Орловской области» на территории региона расположено всего два полигона, предназначенных для </w:t>
            </w:r>
            <w:r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размещения</w:t>
            </w:r>
            <w:r w:rsidRP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строительных </w:t>
            </w:r>
            <w:r w:rsidRP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отходов</w:t>
            </w:r>
            <w:r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и зарегистрированных в Государственном реестре  (ГРОРО)</w:t>
            </w:r>
            <w:r w:rsidRPr="00590BB0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</w:t>
            </w:r>
            <w:proofErr w:type="gramEnd"/>
            <w:r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Полигон </w:t>
            </w:r>
            <w:r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ТБО</w:t>
            </w:r>
            <w:r w:rsidR="000B64DD" w:rsidRPr="000B64DD">
              <w:rPr>
                <w:sz w:val="28"/>
                <w:szCs w:val="28"/>
              </w:rPr>
              <w:t xml:space="preserve"> у </w:t>
            </w:r>
            <w:proofErr w:type="spellStart"/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д</w:t>
            </w:r>
            <w:proofErr w:type="gramStart"/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.З</w:t>
            </w:r>
            <w:proofErr w:type="gramEnd"/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доровецкие</w:t>
            </w:r>
            <w:proofErr w:type="spellEnd"/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выселки </w:t>
            </w:r>
            <w:proofErr w:type="spellStart"/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Ливенского</w:t>
            </w:r>
            <w:proofErr w:type="spellEnd"/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района</w:t>
            </w:r>
            <w:r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</w:t>
            </w:r>
            <w:r w:rsid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</w:t>
            </w:r>
            <w:r w:rsidR="00C067A4" w:rsidRP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Лицензия Серия 057 № 00088 от 19 мая 2016</w:t>
            </w:r>
            <w:r w:rsid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 (</w:t>
            </w:r>
            <w:r w:rsidR="00C067A4" w:rsidRP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Деятельность по сбору, </w:t>
            </w:r>
            <w:r w:rsidR="00C067A4" w:rsidRP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lastRenderedPageBreak/>
              <w:t>транспортированию, обработке, утилизации, обезвреживанию, размещению отходов I - IV классов опасности</w:t>
            </w:r>
            <w:r w:rsid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) </w:t>
            </w:r>
            <w:r w:rsidR="00C067A4" w:rsidRPr="00465229">
              <w:rPr>
                <w:rFonts w:ascii="Times New Roman" w:eastAsia="Andale Sans UI" w:hAnsi="Times New Roman" w:cs="Tahoma"/>
                <w:b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владелец </w:t>
            </w:r>
            <w:r w:rsidR="000B64DD" w:rsidRPr="00465229">
              <w:rPr>
                <w:rFonts w:ascii="Times New Roman" w:eastAsia="Andale Sans UI" w:hAnsi="Times New Roman" w:cs="Tahoma"/>
                <w:b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МУП «Коммунальный сервис»,</w:t>
            </w:r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г.Ливны</w:t>
            </w:r>
            <w:proofErr w:type="spellEnd"/>
            <w:r w:rsidR="000B64DD" w:rsidRPr="000B64DD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, ул.Хохлова,10</w:t>
            </w:r>
            <w:r w:rsid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и  </w:t>
            </w:r>
            <w:r w:rsid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Полигон ТБО у </w:t>
            </w:r>
            <w:r w:rsidR="00465229" w:rsidRP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д. Хомутово, </w:t>
            </w:r>
            <w:proofErr w:type="spellStart"/>
            <w:r w:rsidR="00465229" w:rsidRP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Мценск</w:t>
            </w:r>
            <w:r w:rsid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ого</w:t>
            </w:r>
            <w:proofErr w:type="spellEnd"/>
            <w:r w:rsidR="00465229" w:rsidRP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район</w:t>
            </w:r>
            <w:r w:rsid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а</w:t>
            </w:r>
            <w:r w:rsid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</w:t>
            </w:r>
            <w:r w:rsidR="00C067A4" w:rsidRP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Лицензия (57) - 7915 - СР от 19 июня 2019</w:t>
            </w:r>
            <w:r w:rsid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(</w:t>
            </w:r>
            <w:r w:rsidR="00C067A4" w:rsidRPr="00C067A4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Деятельность по сбору, транспортированию, обработке, утилизации, обезвреживанию, размещению отходов I - IV классов опасности</w:t>
            </w:r>
            <w:r w:rsid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)</w:t>
            </w:r>
            <w:proofErr w:type="gramStart"/>
            <w:r w:rsid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.</w:t>
            </w:r>
            <w:proofErr w:type="gramEnd"/>
            <w:r w:rsid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</w:t>
            </w:r>
            <w:r w:rsidR="00465229" w:rsidRPr="00465229">
              <w:rPr>
                <w:rFonts w:ascii="Times New Roman" w:eastAsia="Andale Sans UI" w:hAnsi="Times New Roman" w:cs="Tahoma"/>
                <w:b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Владелец ООО «</w:t>
            </w:r>
            <w:proofErr w:type="spellStart"/>
            <w:r w:rsidR="00465229" w:rsidRPr="00465229">
              <w:rPr>
                <w:rFonts w:ascii="Times New Roman" w:eastAsia="Andale Sans UI" w:hAnsi="Times New Roman" w:cs="Tahoma"/>
                <w:b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Экостройсервис</w:t>
            </w:r>
            <w:proofErr w:type="spellEnd"/>
            <w:r w:rsidR="00465229" w:rsidRPr="00465229">
              <w:rPr>
                <w:rFonts w:ascii="Times New Roman" w:eastAsia="Andale Sans UI" w:hAnsi="Times New Roman" w:cs="Tahoma"/>
                <w:b/>
                <w:color w:val="000000"/>
                <w:spacing w:val="-5"/>
                <w:kern w:val="2"/>
                <w:sz w:val="28"/>
                <w:szCs w:val="28"/>
                <w:lang w:eastAsia="zh-CN"/>
              </w:rPr>
              <w:t>»</w:t>
            </w:r>
            <w:r w:rsidR="00465229" w:rsidRP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</w:t>
            </w:r>
            <w:r w:rsidR="00465229"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  <w:t xml:space="preserve"> Расчет транспортных затрат следует выполнять исходя из </w:t>
            </w:r>
            <w:r w:rsidR="00465229" w:rsidRPr="00465229">
              <w:rPr>
                <w:rFonts w:ascii="Times New Roman" w:hAnsi="Times New Roman" w:cs="Times New Roman"/>
                <w:sz w:val="28"/>
                <w:szCs w:val="28"/>
              </w:rPr>
              <w:t>территориальной схем</w:t>
            </w:r>
            <w:r w:rsidR="004652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65229" w:rsidRPr="0046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229">
              <w:rPr>
                <w:rFonts w:ascii="Times New Roman" w:hAnsi="Times New Roman" w:cs="Times New Roman"/>
                <w:sz w:val="28"/>
                <w:szCs w:val="28"/>
              </w:rPr>
              <w:t>предполагающей более короткое расстояние от объекта до полигона ТБО</w:t>
            </w:r>
            <w:r w:rsidR="00417AE6">
              <w:rPr>
                <w:rFonts w:ascii="Times New Roman" w:hAnsi="Times New Roman" w:cs="Times New Roman"/>
                <w:sz w:val="28"/>
                <w:szCs w:val="28"/>
              </w:rPr>
              <w:t xml:space="preserve">. Так </w:t>
            </w:r>
            <w:r w:rsidR="00465229" w:rsidRPr="00465229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417AE6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417AE6">
              <w:rPr>
                <w:rFonts w:ascii="Times New Roman" w:hAnsi="Times New Roman" w:cs="Times New Roman"/>
                <w:sz w:val="28"/>
                <w:szCs w:val="28"/>
              </w:rPr>
              <w:t>Экостройсервис</w:t>
            </w:r>
            <w:proofErr w:type="spellEnd"/>
            <w:r w:rsidR="00417A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29" w:rsidRPr="00465229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отходы, подлежащие захоронению, из двух технологических зон транспортирования «</w:t>
            </w:r>
            <w:proofErr w:type="spellStart"/>
            <w:r w:rsidR="00465229" w:rsidRPr="00465229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="00465229" w:rsidRPr="00465229">
              <w:rPr>
                <w:rFonts w:ascii="Times New Roman" w:hAnsi="Times New Roman" w:cs="Times New Roman"/>
                <w:sz w:val="28"/>
                <w:szCs w:val="28"/>
              </w:rPr>
              <w:t>» и «Орловская»</w:t>
            </w:r>
            <w:proofErr w:type="gramStart"/>
            <w:r w:rsidR="00465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17AE6">
              <w:t xml:space="preserve"> </w:t>
            </w:r>
            <w:proofErr w:type="gram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ключающих в себя следующие муниципальные образования: г. Мценск, Болховский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Корсаковский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Новосильский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Залегощенский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Новодеревеньковский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Орел, Знаменский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Хотынецкий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Урицкий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Шаблыкинский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Сосковский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Дмитровский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Кромской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Орловский район, Свердловский район, Покровский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Глазуновский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Малоархангельский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proofErr w:type="spellEnd"/>
            <w:r w:rsidR="00417AE6" w:rsidRPr="00417AE6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  <w:r w:rsidR="00417AE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остальные, не вошедшие в этот список муниципальные образования относятся к полигону ТБО МУП «Коммунальный сервис»</w:t>
            </w:r>
            <w:r w:rsidR="00453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0CC" w:rsidRDefault="004530CC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A6" w:rsidRDefault="004530CC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выше приведенные рекомендации касаются определения стоимости размещения строительных отходов. Стоимость переработки, обезвреживания и захоронения (при необходимости) строительных отходов определяется на основании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коньюктурного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  <w:r w:rsidR="007768A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от организаций имеющих соответствующие лицензии на данный вид деятельности.</w:t>
            </w:r>
          </w:p>
          <w:p w:rsidR="007768A6" w:rsidRDefault="007768A6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A6" w:rsidRDefault="007768A6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A6" w:rsidRDefault="007768A6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A6" w:rsidRDefault="007768A6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A6" w:rsidRDefault="007768A6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CC" w:rsidRDefault="004530CC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AE6" w:rsidRPr="00C067A4" w:rsidRDefault="00417AE6" w:rsidP="00C067A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8"/>
                <w:szCs w:val="28"/>
                <w:lang w:eastAsia="zh-CN"/>
              </w:rPr>
            </w:pPr>
          </w:p>
          <w:p w:rsidR="00543394" w:rsidRPr="00543394" w:rsidRDefault="00543394" w:rsidP="00543394">
            <w:pPr>
              <w:autoSpaceDE w:val="0"/>
              <w:autoSpaceDN w:val="0"/>
              <w:adjustRightInd w:val="0"/>
              <w:spacing w:after="0" w:line="240" w:lineRule="auto"/>
              <w:ind w:firstLine="706"/>
              <w:jc w:val="both"/>
              <w:rPr>
                <w:rFonts w:ascii="Times New Roman" w:eastAsia="Andale Sans UI" w:hAnsi="Times New Roman" w:cs="Tahoma"/>
                <w:color w:val="000000"/>
                <w:spacing w:val="-5"/>
                <w:kern w:val="2"/>
                <w:sz w:val="24"/>
                <w:szCs w:val="24"/>
                <w:lang w:eastAsia="zh-CN"/>
              </w:rPr>
            </w:pPr>
          </w:p>
          <w:p w:rsidR="00543394" w:rsidRDefault="00543394" w:rsidP="007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BB0" w:rsidRDefault="00590BB0" w:rsidP="007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B0" w:rsidRDefault="00590BB0" w:rsidP="007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B32" w:rsidRDefault="00E63B32" w:rsidP="007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24" w:rsidRDefault="00702224" w:rsidP="007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9D" w:rsidRPr="0085419D" w:rsidRDefault="0085419D" w:rsidP="0085419D">
            <w:pPr>
              <w:widowControl w:val="0"/>
              <w:suppressAutoHyphens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eastAsia="ru-RU"/>
              </w:rPr>
            </w:pPr>
          </w:p>
          <w:p w:rsidR="0085419D" w:rsidRPr="0085419D" w:rsidRDefault="00702224" w:rsidP="00702224">
            <w:pPr>
              <w:widowControl w:val="0"/>
              <w:suppressAutoHyphens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</w:pPr>
            <w:r w:rsidRPr="00702224">
              <w:rPr>
                <w:rFonts w:ascii="Times New Roman" w:eastAsia="Andale Sans UI" w:hAnsi="Times New Roman" w:cs="Tahoma"/>
                <w:color w:val="00000A"/>
                <w:kern w:val="2"/>
                <w:sz w:val="28"/>
                <w:szCs w:val="28"/>
                <w:lang w:eastAsia="zh-CN"/>
              </w:rPr>
              <w:lastRenderedPageBreak/>
              <w:t>Приложение №1</w:t>
            </w:r>
          </w:p>
          <w:p w:rsidR="008752D4" w:rsidRDefault="008752D4" w:rsidP="0085419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br/>
              <w:t>III. Ставки платы при размещении отходов</w:t>
            </w:r>
          </w:p>
          <w:p w:rsidR="008752D4" w:rsidRPr="008752D4" w:rsidRDefault="00702224" w:rsidP="0070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</w:t>
            </w:r>
            <w:r w:rsidRPr="0070222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Постановления  Правительства Российской Федерации от 13 сентября 2016 г. N 913  «О ставках  платы за негативное воздействие на окружающую среду и дополнительных коэффициентах» (в редакции Постановления Правительства РФ от 29.06.2018 N 758)</w:t>
            </w:r>
            <w:proofErr w:type="gramEnd"/>
          </w:p>
        </w:tc>
      </w:tr>
      <w:tr w:rsidR="008752D4" w:rsidRPr="008752D4" w:rsidTr="0085419D">
        <w:tc>
          <w:tcPr>
            <w:tcW w:w="9214" w:type="dxa"/>
            <w:gridSpan w:val="8"/>
            <w:tcBorders>
              <w:bottom w:val="single" w:sz="6" w:space="0" w:color="000000"/>
            </w:tcBorders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(рублей)</w:t>
            </w:r>
          </w:p>
        </w:tc>
      </w:tr>
      <w:tr w:rsidR="008752D4" w:rsidRPr="008752D4" w:rsidTr="0085419D">
        <w:tc>
          <w:tcPr>
            <w:tcW w:w="69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D4" w:rsidRPr="008752D4" w:rsidRDefault="008752D4" w:rsidP="008752D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загрязняющих веществ</w:t>
            </w:r>
          </w:p>
        </w:tc>
        <w:tc>
          <w:tcPr>
            <w:tcW w:w="3799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8752D4" w:rsidRPr="008752D4" w:rsidRDefault="008752D4" w:rsidP="008752D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Ставки платы за 1 тонну</w:t>
            </w: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загрязняющих веществ</w:t>
            </w: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(отходов производства и потребления)</w:t>
            </w:r>
          </w:p>
        </w:tc>
      </w:tr>
      <w:tr w:rsidR="008752D4" w:rsidRPr="008752D4" w:rsidTr="0085419D"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2016 год</w:t>
            </w:r>
          </w:p>
        </w:tc>
        <w:tc>
          <w:tcPr>
            <w:tcW w:w="1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2017 год</w:t>
            </w:r>
          </w:p>
        </w:tc>
        <w:tc>
          <w:tcPr>
            <w:tcW w:w="634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2018 год</w:t>
            </w:r>
          </w:p>
        </w:tc>
      </w:tr>
      <w:tr w:rsidR="008752D4" w:rsidRPr="008752D4" w:rsidTr="0085419D">
        <w:tc>
          <w:tcPr>
            <w:tcW w:w="690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Отходы I класса опасности (чрезвычайно опасные)</w:t>
            </w:r>
          </w:p>
        </w:tc>
        <w:tc>
          <w:tcPr>
            <w:tcW w:w="1665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4452,4</w:t>
            </w:r>
          </w:p>
        </w:tc>
        <w:tc>
          <w:tcPr>
            <w:tcW w:w="153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4643,7</w:t>
            </w:r>
          </w:p>
        </w:tc>
        <w:tc>
          <w:tcPr>
            <w:tcW w:w="589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4643,7</w:t>
            </w:r>
          </w:p>
        </w:tc>
      </w:tr>
      <w:tr w:rsidR="008752D4" w:rsidRPr="008752D4" w:rsidTr="0085419D">
        <w:tc>
          <w:tcPr>
            <w:tcW w:w="690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Отходы II класса опасности (</w:t>
            </w:r>
            <w:proofErr w:type="spellStart"/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высокоопасные</w:t>
            </w:r>
            <w:proofErr w:type="spellEnd"/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5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1908,2</w:t>
            </w:r>
          </w:p>
        </w:tc>
        <w:tc>
          <w:tcPr>
            <w:tcW w:w="153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1990,2</w:t>
            </w:r>
          </w:p>
        </w:tc>
        <w:tc>
          <w:tcPr>
            <w:tcW w:w="589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1990,2</w:t>
            </w:r>
          </w:p>
        </w:tc>
      </w:tr>
      <w:tr w:rsidR="008752D4" w:rsidRPr="008752D4" w:rsidTr="0085419D">
        <w:tc>
          <w:tcPr>
            <w:tcW w:w="690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Отходы III класса опасности (умеренно опасные)</w:t>
            </w:r>
          </w:p>
        </w:tc>
        <w:tc>
          <w:tcPr>
            <w:tcW w:w="1665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1272,3</w:t>
            </w:r>
          </w:p>
        </w:tc>
        <w:tc>
          <w:tcPr>
            <w:tcW w:w="153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589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1327</w:t>
            </w:r>
          </w:p>
        </w:tc>
      </w:tr>
      <w:tr w:rsidR="008752D4" w:rsidRPr="008752D4" w:rsidTr="0085419D">
        <w:tc>
          <w:tcPr>
            <w:tcW w:w="690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Отходы IV класса опасности (малоопасные) (за исключением твердых коммунальных отходов IV класса опасности (малоопасные)</w:t>
            </w:r>
            <w:proofErr w:type="gramEnd"/>
          </w:p>
        </w:tc>
        <w:tc>
          <w:tcPr>
            <w:tcW w:w="1665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635,9</w:t>
            </w:r>
          </w:p>
        </w:tc>
        <w:tc>
          <w:tcPr>
            <w:tcW w:w="153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589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663,2</w:t>
            </w:r>
          </w:p>
        </w:tc>
      </w:tr>
      <w:tr w:rsidR="008752D4" w:rsidRPr="008752D4" w:rsidTr="0085419D">
        <w:tc>
          <w:tcPr>
            <w:tcW w:w="690" w:type="dxa"/>
            <w:vMerge w:val="restart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Отходы V класса опасности (практически неопасные):</w:t>
            </w:r>
          </w:p>
        </w:tc>
        <w:tc>
          <w:tcPr>
            <w:tcW w:w="1665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9" w:type="dxa"/>
            <w:shd w:val="clear" w:color="auto" w:fill="FFFFFF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752D4" w:rsidRPr="008752D4" w:rsidTr="0085419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добывающей промышленности</w:t>
            </w:r>
          </w:p>
        </w:tc>
        <w:tc>
          <w:tcPr>
            <w:tcW w:w="1665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89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1,1</w:t>
            </w:r>
          </w:p>
        </w:tc>
      </w:tr>
      <w:tr w:rsidR="008752D4" w:rsidRPr="008752D4" w:rsidTr="0085419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перерабатывающей промышленности</w:t>
            </w:r>
          </w:p>
        </w:tc>
        <w:tc>
          <w:tcPr>
            <w:tcW w:w="1665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3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589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40,1</w:t>
            </w:r>
          </w:p>
        </w:tc>
      </w:tr>
      <w:tr w:rsidR="008752D4" w:rsidRPr="008752D4" w:rsidTr="0085419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52D4" w:rsidRPr="008752D4" w:rsidRDefault="008752D4" w:rsidP="0087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665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30" w:type="dxa"/>
            <w:gridSpan w:val="2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89" w:type="dxa"/>
            <w:shd w:val="clear" w:color="auto" w:fill="FFFFFF"/>
            <w:hideMark/>
          </w:tcPr>
          <w:p w:rsidR="008752D4" w:rsidRPr="008752D4" w:rsidRDefault="008752D4" w:rsidP="008752D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752D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17,3</w:t>
            </w:r>
          </w:p>
        </w:tc>
      </w:tr>
    </w:tbl>
    <w:p w:rsidR="005A6333" w:rsidRDefault="005A6333"/>
    <w:p w:rsidR="00702224" w:rsidRDefault="00702224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768A6" w:rsidRDefault="007768A6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E63B32" w:rsidRDefault="00E63B32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02224" w:rsidRDefault="00702224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  <w:lastRenderedPageBreak/>
        <w:t>Приложение №2</w:t>
      </w:r>
    </w:p>
    <w:p w:rsidR="00702224" w:rsidRDefault="00702224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02224" w:rsidRPr="0085419D" w:rsidRDefault="00702224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</w:pPr>
    </w:p>
    <w:p w:rsidR="00702224" w:rsidRDefault="00702224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</w:pPr>
      <w:r w:rsidRPr="00702224"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zh-CN"/>
        </w:rPr>
        <w:t>Выписка</w:t>
      </w:r>
    </w:p>
    <w:p w:rsidR="00702224" w:rsidRPr="00702224" w:rsidRDefault="00702224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 xml:space="preserve">Из </w:t>
      </w:r>
      <w:r w:rsidRPr="00702224"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 xml:space="preserve">Федерального классификационного каталога отходов" (Зарегистрировано в Минюсте России 08.06.2017 N 47008)  </w:t>
      </w:r>
      <w:r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 xml:space="preserve">с </w:t>
      </w:r>
      <w:r w:rsidRPr="00702224"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>код</w:t>
      </w:r>
      <w:r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>ами</w:t>
      </w:r>
      <w:r w:rsidRPr="00702224"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 xml:space="preserve"> ФККО, последняя цифра кода –</w:t>
      </w:r>
      <w:r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 xml:space="preserve"> </w:t>
      </w:r>
      <w:r w:rsidRPr="00702224"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>класс опасности отход</w:t>
      </w:r>
      <w:r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>ов</w:t>
      </w:r>
      <w:r w:rsidRPr="00702224"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eastAsia="zh-CN"/>
        </w:rPr>
        <w:t>.</w:t>
      </w:r>
    </w:p>
    <w:p w:rsidR="00702224" w:rsidRPr="00702224" w:rsidRDefault="00702224" w:rsidP="00702224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A"/>
          <w:kern w:val="2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8 00 000 00 00 0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СТРОИТЕЛЬСТВА И РЕМОНТА</w:t>
            </w:r>
          </w:p>
        </w:tc>
      </w:tr>
      <w:tr w:rsidR="00702224" w:rsidRPr="007768A6" w:rsidTr="00702224">
        <w:tc>
          <w:tcPr>
            <w:tcW w:w="1814" w:type="dxa"/>
          </w:tcPr>
          <w:p w:rsidR="00702224" w:rsidRPr="007768A6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8 10 000 00 00 0</w:t>
            </w:r>
          </w:p>
        </w:tc>
        <w:tc>
          <w:tcPr>
            <w:tcW w:w="7257" w:type="dxa"/>
          </w:tcPr>
          <w:p w:rsidR="00702224" w:rsidRPr="007768A6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ПОДГОТОВКИ СТРОИТЕЛЬНОГО У</w:t>
            </w:r>
            <w:r w:rsidR="00776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ЧАСТКА, РАЗБОРКИ И СНОСА ЗДАНИЙ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земляных работ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8 11 100 01 49 5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8 11 110 00 00 0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открытых земляных работ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8 11 111 11 49 4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8 11 111 12 49 5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открытых земляных работ практически неопасные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торфа при проведении открытых земляных работ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 насыпной, загрязненный отходами строительных материалов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8 11 120 00 00 0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подземных земляных работ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8 11 122 11 39 4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8 11 123 11 39 4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8 11 123 12 39 5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8 11 130 00 00 0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подводных земляных работ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8 11 131 11 20 5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8 12 000 00 00 0</w:t>
            </w:r>
          </w:p>
        </w:tc>
        <w:tc>
          <w:tcPr>
            <w:tcW w:w="7257" w:type="dxa"/>
          </w:tcPr>
          <w:p w:rsidR="00702224" w:rsidRPr="00702224" w:rsidRDefault="00702224" w:rsidP="007768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от сноса и разборки зданий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8 12 101 01 72 4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древесные отходы от сноса и разборки зданий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8 12 201 01 20 5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8 12 901 01 72 4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8 12 911 11 20 3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сноса и разборки производственных зданий, загрязненных соединениями свинца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8 12 911 12 20 3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8 19 000 00 00 0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отходы подготовки строительного участка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8 19 100 01 49 5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песка незагрязненные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8 19 100 03 21 5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строительного щебня незагрязненные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8 19 911 11 70 4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8 20 000 00 00 0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СТРОИТЕЛЬСТВА ЗДАНИЙ, СООРУЖЕНИЙ</w:t>
            </w:r>
          </w:p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(отходы древесных, асбестсодержащих строительных материалов см. </w:t>
            </w:r>
            <w:hyperlink w:anchor="P1190" w:history="1">
              <w:r w:rsidRPr="007022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Блоки 3</w:t>
              </w:r>
            </w:hyperlink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hyperlink w:anchor="P10215" w:history="1">
              <w:r w:rsidRPr="007022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4</w:t>
              </w:r>
            </w:hyperlink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отходы теплоизоляционных материалов см. Блок 4 </w:t>
            </w:r>
            <w:hyperlink w:anchor="P13901" w:history="1">
              <w:r w:rsidRPr="0070222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группу 4 57</w:t>
              </w:r>
            </w:hyperlink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8 21 000 00 00 0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строительных материалов на основе природного камня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8 21 101 01 21 5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8 21 211 11 20 5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резки, пиления, обработки блоков из натурального мрамора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песчано-гравийных смесей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песчано-гравийной смеси незагрязненные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P16949"/>
            <w:bookmarkEnd w:id="0"/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8 22 000 00 00 0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8 22 021 12 49 5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(остатки) сухой бетонной смеси практически неопасные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8 22 101 01 21 5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в кусковой форме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8 22 131 11 20 4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плиточного клея на основе цемента затвердевшего малоопасные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8 22 171 11 51 4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асбоцемента при ремонте инженерных коммуникаций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8 22 201 01 21 5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8 22 211 11 20 4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бетона при строительстве и ремонте производственных зданий и сооружений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8 22 231 11 20 4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бетона, загрязненные нефтью или нефтепродуктами в количестве не более 15%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8 22 301 01 21 5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8 22 331 11 20 4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железобетона, загрязненные нефтью или нефтепродуктами в количестве не более 15%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8 22 401 01 21 4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затвердевшего строительного раствора в кусковой форме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8 22 911 11 20 4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8 23 000 00 00 0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керамических строительных материалов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8 23 101 01 21 5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строительного кирпича незагрязненный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8 23 201 01 21 5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черепицы, керамики незагрязненный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8 23 311 11 50 4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труб керамических при замене, ремонте инженерных коммуникаций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8 24 000 00 00 0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строительных материалов на основе минеральных вяжущих веществ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8 24 100 00 00 0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строительных материалов на гипсовой основе (панели и плиты для </w:t>
            </w:r>
            <w:r w:rsidRPr="00E6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перегородок, гипсокартонные листы, </w:t>
            </w:r>
            <w:proofErr w:type="gramStart"/>
            <w:r w:rsidRPr="00E6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вент-блоки</w:t>
            </w:r>
            <w:proofErr w:type="gramEnd"/>
            <w:r w:rsidRPr="00E6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8 24 110 01 20 4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лом гипсокартонных листов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8 24 110 02 20 4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 </w:t>
            </w:r>
            <w:proofErr w:type="spellStart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 незагрязненный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8 24 191 11 20 5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гипса при ремонтно-строительных работах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8 24 200 00 00 0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строительных силикатных материалов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силикатных кирпичей, камней, блоков при ремонтно-строительных работах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8 24 300 00 00 0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извести гашеной в кусковой форме при ремонтно-строительных работах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8 24 411 11 21 4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мела в кусковой форме при ремонтно-строительных работах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бентонитовой</w:t>
            </w:r>
            <w:proofErr w:type="spellEnd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глины при ремонтно-строительных работах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8 24 900 00 00 0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8 24 900 01 29 4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шпатлевки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8 24 910 00 00 0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затвердевших строительных смесей прочих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8 24 911 11 20 4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штукатурки затвердевшей малоопасные</w:t>
            </w:r>
          </w:p>
        </w:tc>
      </w:tr>
      <w:tr w:rsidR="00702224" w:rsidRPr="00E63B32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лом и отходы </w:t>
            </w:r>
            <w:proofErr w:type="spellStart"/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минераловолокнистых</w:t>
            </w:r>
            <w:proofErr w:type="spellEnd"/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потолочных плит на основе перлита, пригодные для утилизации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8 26 000 00 00 0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рулонных кровельных и гидроизоляционных материалов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8 26 100 00 00 0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битумных, дегтевых, дегтебитумных, </w:t>
            </w:r>
            <w:proofErr w:type="spellStart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битумополимерных</w:t>
            </w:r>
            <w:proofErr w:type="spellEnd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</w:t>
            </w:r>
            <w:proofErr w:type="spellEnd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-дегтевых и битумных безосновных материалов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8 26 111 11 20 3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битума нефтяного строительного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8 26 111 31 71 3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битумной изоляции трубопроводов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8 26 113 11 31 3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пропитки битумной для упрочнения асфальтобетонного покрытия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8 26 141 31 71 4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битумно-полимерной изоляции трубопроводов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8 26 143 11 31 3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пропитки битумно-полимерной для упрочнения асфальтобетонного покрытия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8 26 200 00 00 0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8 26 210 01 51 4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рубероида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8 26 300 00 00 0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Отходы строительных материалов на </w:t>
            </w:r>
            <w:proofErr w:type="spellStart"/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стеклооснове</w:t>
            </w:r>
            <w:proofErr w:type="spellEnd"/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8 26 310 11 20 4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незагрязненные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8 26 321 11 20 4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строительных материалов на основе </w:t>
            </w:r>
            <w:proofErr w:type="spellStart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стеклоизола</w:t>
            </w:r>
            <w:proofErr w:type="spellEnd"/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незагрязненные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8 26 341 11 20 4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гидроизоляционных материалов на основе стекловолокна и синтетического каучука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8 27 000 00 00 0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Отходы строительных материалов на основе пластмасс и полимеров, не вошедшие в </w:t>
            </w:r>
            <w:hyperlink w:anchor="P10215" w:history="1">
              <w:r w:rsidRPr="00E63B3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Блок 4</w:t>
              </w:r>
            </w:hyperlink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8 27 100 00 00 0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линолеумов, полимерных плиток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8 27 100 01 51 4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линолеума незагрязненные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8 27 200 00 00 0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полимерных кровельных материалов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8 27 311 11 50 4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труб полимерных при замене, ремонте инженерных коммуникаций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полимерных антикоррозионных покрытий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полимерного антикоррозийного рулонного покрытия для защиты трубопроводов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8 27 900 00 00 0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строительных материалов на основе пластмасс и полимеров прочие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8 27 990 01 72 4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8 29 000 00 00 0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отходы строительства и ремонта зданий, сооружений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8 29 131 11 20 5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опалубки деревянной, загрязненной бетоном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8 29 132 11 62 4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древесные при демонтаже временных дорожных покрытий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8 29 151 11 62 4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702224" w:rsidRPr="00702224" w:rsidTr="00E63B32">
        <w:tc>
          <w:tcPr>
            <w:tcW w:w="1814" w:type="dxa"/>
            <w:tcBorders>
              <w:bottom w:val="single" w:sz="4" w:space="0" w:color="auto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8 29 171 11 71 4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702224" w:rsidRPr="00702224" w:rsidTr="00E63B32">
        <w:tblPrEx>
          <w:tblBorders>
            <w:insideH w:val="nil"/>
          </w:tblBorders>
        </w:tblPrEx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8 29 240 00 00 0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ремонте элементов систем водо- и газопроводов, канализационных сетей</w:t>
            </w:r>
          </w:p>
        </w:tc>
      </w:tr>
      <w:tr w:rsidR="00702224" w:rsidRPr="00702224" w:rsidTr="00E63B32">
        <w:tblPrEx>
          <w:tblBorders>
            <w:insideH w:val="nil"/>
          </w:tblBorders>
        </w:tblPrEx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8 29 241 11 40 5</w:t>
            </w:r>
          </w:p>
        </w:tc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тепловых камер и непроходных каналов при ремонте теплотрасс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8 30 000 00 00 0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ОТХОДЫ ПРИ ДЕМОНТАЖЕ, РЕМОНТЕ АВТОДОРОЖНЫХ ПОКРЫТИЙ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8 30 100 01 71 5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8 30 200 01 71 4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 лом диабазовой плитки, загрязненной кремнийорганическими соединениями</w:t>
            </w:r>
          </w:p>
        </w:tc>
      </w:tr>
      <w:tr w:rsidR="00702224" w:rsidRPr="00E63B32" w:rsidTr="00702224">
        <w:tc>
          <w:tcPr>
            <w:tcW w:w="1814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8 90 000 00 00 0</w:t>
            </w:r>
          </w:p>
        </w:tc>
        <w:tc>
          <w:tcPr>
            <w:tcW w:w="7257" w:type="dxa"/>
          </w:tcPr>
          <w:p w:rsidR="00702224" w:rsidRPr="00E63B32" w:rsidRDefault="00702224" w:rsidP="00702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ОТХОДЫ СТРОИТЕЛЬСТВА И РЕМОНТА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8 90 000 01 72 4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8 90 000 02 49 4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702224" w:rsidRPr="00702224" w:rsidTr="00702224">
        <w:tc>
          <w:tcPr>
            <w:tcW w:w="1814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8 90 000 03 21 4</w:t>
            </w:r>
          </w:p>
        </w:tc>
        <w:tc>
          <w:tcPr>
            <w:tcW w:w="7257" w:type="dxa"/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702224" w:rsidRPr="00702224" w:rsidTr="00702224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702224" w:rsidRPr="00702224" w:rsidTr="00E63B32">
        <w:tblPrEx>
          <w:tblBorders>
            <w:insideH w:val="nil"/>
          </w:tblBorders>
        </w:tblPrEx>
        <w:tc>
          <w:tcPr>
            <w:tcW w:w="1814" w:type="dxa"/>
            <w:tcBorders>
              <w:bottom w:val="single" w:sz="4" w:space="0" w:color="auto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8 90 031 21 72 4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702224" w:rsidRPr="00702224" w:rsidRDefault="00702224" w:rsidP="007022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</w:tbl>
    <w:p w:rsidR="00702224" w:rsidRDefault="00543394" w:rsidP="0054339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spacing w:val="-5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4"/>
          <w:szCs w:val="24"/>
          <w:lang w:eastAsia="zh-CN"/>
        </w:rPr>
        <w:t>Примеры расчета платы за размещение отходов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u w:val="single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u w:val="single"/>
          <w:lang w:eastAsia="zh-CN"/>
        </w:rPr>
        <w:t>Пример 1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ТИП ОТХОДОВ:  </w:t>
      </w:r>
      <w:r w:rsidRPr="00543394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eastAsia="zh-CN"/>
        </w:rPr>
        <w:t>лом бортовых камней, брусчатки, булыжных камней и прочие отходы изделий из природного камня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eastAsia="zh-CN"/>
        </w:rPr>
        <w:t>КОД ФККО: 8 30 100 01 71 5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КЛАСС ОПАСНОСТИ:  </w:t>
      </w: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val="en-US" w:eastAsia="zh-CN"/>
        </w:rPr>
        <w:t>V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>МАССА МУСОРА: 100 тонн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УРОВЕНЬ ЦЕН:  </w:t>
      </w:r>
      <w:proofErr w:type="gramStart"/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val="en-US" w:eastAsia="zh-CN"/>
        </w:rPr>
        <w:t>I</w:t>
      </w: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 квартал 2021 г.</w:t>
      </w:r>
      <w:proofErr w:type="gramEnd"/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</w:pPr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 xml:space="preserve">Плата за размещение отходов составляет: 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</w:pPr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 xml:space="preserve">100 тонн х 17,3 </w:t>
      </w:r>
      <w:proofErr w:type="spellStart"/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>руб</w:t>
      </w:r>
      <w:proofErr w:type="spellEnd"/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 xml:space="preserve">/тонну *1,08 = 1868,4 руб. </w:t>
      </w:r>
      <w:proofErr w:type="spellStart"/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>безНДС</w:t>
      </w:r>
      <w:proofErr w:type="spellEnd"/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 xml:space="preserve"> 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u w:val="single"/>
          <w:lang w:eastAsia="zh-CN"/>
        </w:rPr>
      </w:pP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u w:val="single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u w:val="single"/>
          <w:lang w:eastAsia="zh-CN"/>
        </w:rPr>
        <w:t>Пример 2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ТИП ОТХОДОВ:  </w:t>
      </w:r>
      <w:r w:rsidRPr="00543394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eastAsia="zh-CN"/>
        </w:rPr>
        <w:t xml:space="preserve">мусор от сноса и разборки зданий несортированный 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eastAsia="zh-CN"/>
        </w:rPr>
        <w:t>КОД ФККО: 8 12 901 01 72 4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КЛАСС ОПАСНОСТИ:  </w:t>
      </w: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val="en-US" w:eastAsia="zh-CN"/>
        </w:rPr>
        <w:t>IV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>МАССА МУСОРА: 100 тонн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</w:pP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УРОВЕНЬ ЦЕН:  </w:t>
      </w:r>
      <w:proofErr w:type="gramStart"/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val="en-US" w:eastAsia="zh-CN"/>
        </w:rPr>
        <w:t>IV</w:t>
      </w:r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  квартал</w:t>
      </w:r>
      <w:proofErr w:type="gramEnd"/>
      <w:r w:rsidRPr="00543394">
        <w:rPr>
          <w:rFonts w:ascii="Times New Roman" w:eastAsia="Andale Sans UI" w:hAnsi="Times New Roman" w:cs="Tahoma"/>
          <w:color w:val="000000"/>
          <w:spacing w:val="-5"/>
          <w:kern w:val="2"/>
          <w:sz w:val="24"/>
          <w:szCs w:val="24"/>
          <w:lang w:eastAsia="zh-CN"/>
        </w:rPr>
        <w:t xml:space="preserve"> 2019 г.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</w:pPr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 xml:space="preserve">Плата за размещение отходов составляет: </w:t>
      </w:r>
    </w:p>
    <w:p w:rsidR="00543394" w:rsidRPr="00543394" w:rsidRDefault="00543394" w:rsidP="0054339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</w:pPr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 xml:space="preserve">100 тонн х 663,2 </w:t>
      </w:r>
      <w:proofErr w:type="spellStart"/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>руб</w:t>
      </w:r>
      <w:proofErr w:type="spellEnd"/>
      <w:r w:rsidRPr="00543394">
        <w:rPr>
          <w:rFonts w:ascii="Times New Roman" w:eastAsia="Andale Sans UI" w:hAnsi="Times New Roman" w:cs="Tahoma"/>
          <w:b/>
          <w:color w:val="000000"/>
          <w:spacing w:val="-5"/>
          <w:kern w:val="2"/>
          <w:sz w:val="28"/>
          <w:szCs w:val="28"/>
          <w:lang w:eastAsia="zh-CN"/>
        </w:rPr>
        <w:t>/тонну *1,04 = 68972,8 руб. без НДС</w:t>
      </w:r>
    </w:p>
    <w:p w:rsidR="00543394" w:rsidRPr="0085419D" w:rsidRDefault="00543394" w:rsidP="005433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3394" w:rsidRPr="0085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6E"/>
    <w:rsid w:val="000B64DD"/>
    <w:rsid w:val="00417AE6"/>
    <w:rsid w:val="004530CC"/>
    <w:rsid w:val="00465229"/>
    <w:rsid w:val="00543394"/>
    <w:rsid w:val="00590BB0"/>
    <w:rsid w:val="005A6333"/>
    <w:rsid w:val="00702224"/>
    <w:rsid w:val="007768A6"/>
    <w:rsid w:val="0085419D"/>
    <w:rsid w:val="008752D4"/>
    <w:rsid w:val="00C067A4"/>
    <w:rsid w:val="00E63B32"/>
    <w:rsid w:val="00E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7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7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Полозов</dc:creator>
  <cp:keywords/>
  <dc:description/>
  <cp:lastModifiedBy>Ю В. Полозов</cp:lastModifiedBy>
  <cp:revision>2</cp:revision>
  <cp:lastPrinted>2021-04-27T14:29:00Z</cp:lastPrinted>
  <dcterms:created xsi:type="dcterms:W3CDTF">2021-04-27T12:16:00Z</dcterms:created>
  <dcterms:modified xsi:type="dcterms:W3CDTF">2021-04-27T14:29:00Z</dcterms:modified>
</cp:coreProperties>
</file>